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We are requested by EACEA to report “</w:t>
      </w:r>
      <w:r w:rsidDel="00000000" w:rsidR="00000000" w:rsidRPr="00000000">
        <w:rPr>
          <w:b w:val="1"/>
          <w:bCs w:val="1"/>
          <w:rtl w:val="0"/>
        </w:rPr>
        <w:t xml:space="preserve">Communication Activities”</w:t>
      </w:r>
      <w:r w:rsidDel="00000000" w:rsidR="00000000" w:rsidRPr="00000000">
        <w:rPr>
          <w:rtl w:val="0"/>
        </w:rPr>
        <w:t xml:space="preserve"> in our project. We can assume one/two Communication Activities per Work Package.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color w:val="ff0000"/>
          <w:rtl w:val="0"/>
        </w:rPr>
        <w:t xml:space="preserve">*</w:t>
      </w:r>
      <w:r w:rsidDel="00000000" w:rsidR="00000000" w:rsidRPr="00000000">
        <w:rPr>
          <w:rtl w:val="0"/>
        </w:rPr>
        <w:t xml:space="preserve"> One “Communication Activity” should consist of a group of actions, e.g. via social media, traditional media, radio, etc.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780"/>
        <w:tblGridChange w:id="0">
          <w:tblGrid>
            <w:gridCol w:w="2220"/>
            <w:gridCol w:w="67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rPr>
                <w:b w:val="1"/>
                <w:bCs w:val="1"/>
                <w:color w:val="ff0000"/>
              </w:rPr>
            </w:pPr>
            <w:r w:rsidDel="00000000" w:rsidR="00000000" w:rsidRPr="00000000">
              <w:rPr>
                <w:b w:val="1"/>
                <w:bCs w:val="1"/>
                <w:rtl w:val="0"/>
              </w:rPr>
              <w:t xml:space="preserve">Communication Activity </w:t>
            </w:r>
            <w:r w:rsidDel="00000000" w:rsidR="00000000" w:rsidRPr="00000000">
              <w:rPr>
                <w:b w:val="1"/>
                <w:bCs w:val="1"/>
                <w:color w:val="ff000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pPr>
            <w:r w:rsidDel="00000000" w:rsidR="00000000" w:rsidRPr="00000000">
              <w:rPr>
                <w:rtl w:val="0"/>
              </w:rPr>
              <w:t xml:space="preserve">EU Values in Action:</w:t>
            </w:r>
          </w:p>
          <w:p w:rsidR="00000000" w:rsidDel="00000000" w:rsidP="00000000" w:rsidRDefault="00000000" w:rsidRPr="00000000" w14:paraId="00000008">
            <w:pPr>
              <w:widowControl w:val="0"/>
              <w:spacing w:line="240" w:lineRule="auto"/>
              <w:rPr>
                <w:rFonts w:ascii="Aptos" w:cs="Aptos" w:eastAsia="Aptos" w:hAnsi="Aptos"/>
                <w:b w:val="1"/>
                <w:bCs w:val="1"/>
                <w:sz w:val="26"/>
                <w:szCs w:val="26"/>
              </w:rPr>
            </w:pPr>
            <w:r w:rsidDel="00000000" w:rsidR="00000000" w:rsidRPr="00000000">
              <w:rPr>
                <w:rtl w:val="0"/>
              </w:rPr>
              <w:t xml:space="preserve">Promoting Active Citizenship at the Festival </w:t>
            </w:r>
            <w:r w:rsidDel="00000000" w:rsidR="00000000" w:rsidRPr="00000000">
              <w:rPr>
                <w:rFonts w:ascii="Aptos" w:cs="Aptos" w:eastAsia="Aptos" w:hAnsi="Aptos"/>
                <w:b w:val="1"/>
                <w:bCs w:val="1"/>
                <w:sz w:val="26"/>
                <w:szCs w:val="26"/>
                <w:rtl w:val="0"/>
              </w:rPr>
              <w:t xml:space="preserve">“Unity in Diversity: The Bârlad Experience”</w:t>
            </w:r>
          </w:p>
          <w:p w:rsidR="00000000" w:rsidDel="00000000" w:rsidP="00000000" w:rsidRDefault="00000000" w:rsidRPr="00000000" w14:paraId="0000000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rPr>
                <w:b w:val="1"/>
                <w:bCs w:val="1"/>
              </w:rPr>
            </w:pPr>
            <w:r w:rsidDel="00000000" w:rsidR="00000000" w:rsidRPr="00000000">
              <w:rPr>
                <w:b w:val="1"/>
                <w:bCs w:val="1"/>
                <w:rtl w:val="0"/>
              </w:rPr>
              <w:t xml:space="preserve">Work Package</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WP 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rPr>
                <w:b w:val="1"/>
                <w:bCs w:val="1"/>
                <w:color w:val="ff0000"/>
              </w:rPr>
            </w:pPr>
            <w:r w:rsidDel="00000000" w:rsidR="00000000" w:rsidRPr="00000000">
              <w:rPr>
                <w:b w:val="1"/>
                <w:bCs w:val="1"/>
                <w:rtl w:val="0"/>
              </w:rPr>
              <w:t xml:space="preserve">Description of implemented activity </w:t>
            </w:r>
            <w:r w:rsidDel="00000000" w:rsidR="00000000" w:rsidRPr="00000000">
              <w:rPr>
                <w:b w:val="1"/>
                <w:bCs w:val="1"/>
                <w:color w:val="ff0000"/>
                <w:rtl w:val="0"/>
              </w:rPr>
              <w:t xml:space="preserve">(max. 200 characters)</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pPr>
            <w:r w:rsidDel="00000000" w:rsidR="00000000" w:rsidRPr="00000000">
              <w:rPr>
                <w:rtl w:val="0"/>
              </w:rPr>
              <w:t xml:space="preserve">Design of the editorial plan and communication assets. Promotion of the project event via social media, websites and local press. The goals and assumptions of the project were promoted by emphasizing local activities carried out by the project partner (event host), each time posting information, videos, photos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rPr>
                <w:b w:val="1"/>
                <w:bCs w:val="1"/>
              </w:rPr>
            </w:pPr>
            <w:r w:rsidDel="00000000" w:rsidR="00000000" w:rsidRPr="00000000">
              <w:rPr>
                <w:b w:val="1"/>
                <w:bCs w:val="1"/>
                <w:rtl w:val="0"/>
              </w:rPr>
              <w:t xml:space="preserve">Target audience (who)</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color w:val="ff0000"/>
              </w:rPr>
            </w:pPr>
            <w:r w:rsidDel="00000000" w:rsidR="00000000" w:rsidRPr="00000000">
              <w:rPr>
                <w:b w:val="1"/>
                <w:bCs w:val="1"/>
                <w:color w:val="ff0000"/>
                <w:rtl w:val="0"/>
              </w:rPr>
              <w:t xml:space="preserve">(select only one)</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numPr>
                <w:ilvl w:val="0"/>
                <w:numId w:val="2"/>
              </w:numPr>
              <w:spacing w:line="240" w:lineRule="auto"/>
              <w:ind w:left="720" w:hanging="360"/>
              <w:rPr/>
            </w:pPr>
            <w:r w:rsidDel="00000000" w:rsidR="00000000" w:rsidRPr="00000000">
              <w:rPr>
                <w:rtl w:val="0"/>
              </w:rPr>
              <w:t xml:space="preserve">Citizens</w:t>
            </w:r>
          </w:p>
          <w:p w:rsidR="00000000" w:rsidDel="00000000" w:rsidP="00000000" w:rsidRDefault="00000000" w:rsidRPr="00000000" w14:paraId="00000012">
            <w:pPr>
              <w:widowControl w:val="0"/>
              <w:numPr>
                <w:ilvl w:val="0"/>
                <w:numId w:val="2"/>
              </w:numPr>
              <w:spacing w:line="240" w:lineRule="auto"/>
              <w:ind w:left="720" w:hanging="360"/>
              <w:rPr>
                <w:b w:val="1"/>
                <w:bCs w:val="1"/>
              </w:rPr>
            </w:pPr>
            <w:r w:rsidDel="00000000" w:rsidR="00000000" w:rsidRPr="00000000">
              <w:rPr>
                <w:b w:val="1"/>
                <w:bCs w:val="1"/>
                <w:rtl w:val="0"/>
              </w:rPr>
              <w:t xml:space="preserve">Civil society</w:t>
            </w:r>
            <w:r w:rsidDel="00000000" w:rsidR="00000000" w:rsidRPr="00000000">
              <w:rPr>
                <w:rtl w:val="0"/>
              </w:rPr>
            </w:r>
          </w:p>
          <w:p w:rsidR="00000000" w:rsidDel="00000000" w:rsidP="00000000" w:rsidRDefault="00000000" w:rsidRPr="00000000" w14:paraId="00000013">
            <w:pPr>
              <w:widowControl w:val="0"/>
              <w:numPr>
                <w:ilvl w:val="0"/>
                <w:numId w:val="2"/>
              </w:numPr>
              <w:spacing w:line="240" w:lineRule="auto"/>
              <w:ind w:left="720" w:hanging="360"/>
              <w:rPr>
                <w:u w:val="none"/>
              </w:rPr>
            </w:pPr>
            <w:r w:rsidDel="00000000" w:rsidR="00000000" w:rsidRPr="00000000">
              <w:rPr>
                <w:rtl w:val="0"/>
              </w:rPr>
              <w:t xml:space="preserve">EU institutions</w:t>
            </w:r>
            <w:r w:rsidDel="00000000" w:rsidR="00000000" w:rsidRPr="00000000">
              <w:rPr>
                <w:rtl w:val="0"/>
              </w:rPr>
            </w:r>
          </w:p>
          <w:p w:rsidR="00000000" w:rsidDel="00000000" w:rsidP="00000000" w:rsidRDefault="00000000" w:rsidRPr="00000000" w14:paraId="00000014">
            <w:pPr>
              <w:widowControl w:val="0"/>
              <w:numPr>
                <w:ilvl w:val="0"/>
                <w:numId w:val="2"/>
              </w:numPr>
              <w:spacing w:line="240" w:lineRule="auto"/>
              <w:ind w:left="720" w:hanging="360"/>
              <w:rPr>
                <w:u w:val="none"/>
              </w:rPr>
            </w:pPr>
            <w:r w:rsidDel="00000000" w:rsidR="00000000" w:rsidRPr="00000000">
              <w:rPr>
                <w:rtl w:val="0"/>
              </w:rPr>
              <w:t xml:space="preserve">Industry+</w:t>
            </w:r>
            <w:r w:rsidDel="00000000" w:rsidR="00000000" w:rsidRPr="00000000">
              <w:rPr>
                <w:rtl w:val="0"/>
              </w:rPr>
            </w:r>
          </w:p>
          <w:p w:rsidR="00000000" w:rsidDel="00000000" w:rsidP="00000000" w:rsidRDefault="00000000" w:rsidRPr="00000000" w14:paraId="00000015">
            <w:pPr>
              <w:widowControl w:val="0"/>
              <w:numPr>
                <w:ilvl w:val="0"/>
                <w:numId w:val="2"/>
              </w:numPr>
              <w:spacing w:line="240" w:lineRule="auto"/>
              <w:ind w:left="720" w:hanging="360"/>
              <w:rPr>
                <w:u w:val="none"/>
              </w:rPr>
            </w:pPr>
            <w:r w:rsidDel="00000000" w:rsidR="00000000" w:rsidRPr="00000000">
              <w:rPr>
                <w:rtl w:val="0"/>
              </w:rPr>
              <w:t xml:space="preserve">Innovators</w:t>
            </w:r>
            <w:r w:rsidDel="00000000" w:rsidR="00000000" w:rsidRPr="00000000">
              <w:rPr>
                <w:rtl w:val="0"/>
              </w:rPr>
            </w:r>
          </w:p>
          <w:p w:rsidR="00000000" w:rsidDel="00000000" w:rsidP="00000000" w:rsidRDefault="00000000" w:rsidRPr="00000000" w14:paraId="00000016">
            <w:pPr>
              <w:widowControl w:val="0"/>
              <w:numPr>
                <w:ilvl w:val="0"/>
                <w:numId w:val="2"/>
              </w:numPr>
              <w:spacing w:line="240" w:lineRule="auto"/>
              <w:ind w:left="720" w:hanging="360"/>
              <w:rPr>
                <w:u w:val="none"/>
              </w:rPr>
            </w:pPr>
            <w:r w:rsidDel="00000000" w:rsidR="00000000" w:rsidRPr="00000000">
              <w:rPr>
                <w:rtl w:val="0"/>
              </w:rPr>
              <w:t xml:space="preserve">International organisations</w:t>
            </w:r>
            <w:r w:rsidDel="00000000" w:rsidR="00000000" w:rsidRPr="00000000">
              <w:rPr>
                <w:rtl w:val="0"/>
              </w:rPr>
            </w:r>
          </w:p>
          <w:p w:rsidR="00000000" w:rsidDel="00000000" w:rsidP="00000000" w:rsidRDefault="00000000" w:rsidRPr="00000000" w14:paraId="00000017">
            <w:pPr>
              <w:widowControl w:val="0"/>
              <w:numPr>
                <w:ilvl w:val="0"/>
                <w:numId w:val="2"/>
              </w:numPr>
              <w:spacing w:line="240" w:lineRule="auto"/>
              <w:ind w:left="720" w:hanging="360"/>
              <w:rPr>
                <w:u w:val="none"/>
              </w:rPr>
            </w:pPr>
            <w:r w:rsidDel="00000000" w:rsidR="00000000" w:rsidRPr="00000000">
              <w:rPr>
                <w:rtl w:val="0"/>
              </w:rPr>
              <w:t xml:space="preserve">Investors</w:t>
            </w:r>
            <w:r w:rsidDel="00000000" w:rsidR="00000000" w:rsidRPr="00000000">
              <w:rPr>
                <w:rtl w:val="0"/>
              </w:rPr>
            </w:r>
          </w:p>
          <w:p w:rsidR="00000000" w:rsidDel="00000000" w:rsidP="00000000" w:rsidRDefault="00000000" w:rsidRPr="00000000" w14:paraId="00000018">
            <w:pPr>
              <w:widowControl w:val="0"/>
              <w:numPr>
                <w:ilvl w:val="0"/>
                <w:numId w:val="2"/>
              </w:numPr>
              <w:spacing w:line="240" w:lineRule="auto"/>
              <w:ind w:left="720" w:hanging="360"/>
              <w:rPr>
                <w:u w:val="none"/>
              </w:rPr>
            </w:pPr>
            <w:r w:rsidDel="00000000" w:rsidR="00000000" w:rsidRPr="00000000">
              <w:rPr>
                <w:rtl w:val="0"/>
              </w:rPr>
              <w:t xml:space="preserve">Local authorities</w:t>
            </w:r>
            <w:r w:rsidDel="00000000" w:rsidR="00000000" w:rsidRPr="00000000">
              <w:rPr>
                <w:rtl w:val="0"/>
              </w:rPr>
            </w:r>
          </w:p>
          <w:p w:rsidR="00000000" w:rsidDel="00000000" w:rsidP="00000000" w:rsidRDefault="00000000" w:rsidRPr="00000000" w14:paraId="00000019">
            <w:pPr>
              <w:widowControl w:val="0"/>
              <w:numPr>
                <w:ilvl w:val="0"/>
                <w:numId w:val="2"/>
              </w:numPr>
              <w:spacing w:line="240" w:lineRule="auto"/>
              <w:ind w:left="720" w:hanging="360"/>
              <w:rPr>
                <w:u w:val="none"/>
              </w:rPr>
            </w:pPr>
            <w:r w:rsidDel="00000000" w:rsidR="00000000" w:rsidRPr="00000000">
              <w:rPr>
                <w:rtl w:val="0"/>
              </w:rPr>
              <w:t xml:space="preserve">National authorities</w:t>
            </w:r>
            <w:r w:rsidDel="00000000" w:rsidR="00000000" w:rsidRPr="00000000">
              <w:rPr>
                <w:rtl w:val="0"/>
              </w:rPr>
            </w:r>
          </w:p>
          <w:p w:rsidR="00000000" w:rsidDel="00000000" w:rsidP="00000000" w:rsidRDefault="00000000" w:rsidRPr="00000000" w14:paraId="0000001A">
            <w:pPr>
              <w:widowControl w:val="0"/>
              <w:numPr>
                <w:ilvl w:val="0"/>
                <w:numId w:val="2"/>
              </w:numPr>
              <w:spacing w:line="240" w:lineRule="auto"/>
              <w:ind w:left="720" w:hanging="360"/>
              <w:rPr>
                <w:u w:val="none"/>
              </w:rPr>
            </w:pPr>
            <w:r w:rsidDel="00000000" w:rsidR="00000000" w:rsidRPr="00000000">
              <w:rPr>
                <w:rtl w:val="0"/>
              </w:rPr>
              <w:t xml:space="preserve">Regional authorities</w:t>
            </w:r>
            <w:r w:rsidDel="00000000" w:rsidR="00000000" w:rsidRPr="00000000">
              <w:rPr>
                <w:rtl w:val="0"/>
              </w:rPr>
            </w:r>
          </w:p>
          <w:p w:rsidR="00000000" w:rsidDel="00000000" w:rsidP="00000000" w:rsidRDefault="00000000" w:rsidRPr="00000000" w14:paraId="0000001B">
            <w:pPr>
              <w:widowControl w:val="0"/>
              <w:numPr>
                <w:ilvl w:val="0"/>
                <w:numId w:val="2"/>
              </w:numPr>
              <w:spacing w:line="240" w:lineRule="auto"/>
              <w:ind w:left="720" w:hanging="360"/>
              <w:rPr>
                <w:u w:val="none"/>
              </w:rPr>
            </w:pPr>
            <w:r w:rsidDel="00000000" w:rsidR="00000000" w:rsidRPr="00000000">
              <w:rPr>
                <w:rtl w:val="0"/>
              </w:rPr>
              <w:t xml:space="preserve">Research communities</w:t>
            </w:r>
            <w:r w:rsidDel="00000000" w:rsidR="00000000" w:rsidRPr="00000000">
              <w:rPr>
                <w:rtl w:val="0"/>
              </w:rPr>
            </w:r>
          </w:p>
          <w:p w:rsidR="00000000" w:rsidDel="00000000" w:rsidP="00000000" w:rsidRDefault="00000000" w:rsidRPr="00000000" w14:paraId="0000001C">
            <w:pPr>
              <w:widowControl w:val="0"/>
              <w:numPr>
                <w:ilvl w:val="0"/>
                <w:numId w:val="2"/>
              </w:numPr>
              <w:spacing w:line="240" w:lineRule="auto"/>
              <w:ind w:left="720" w:hanging="360"/>
              <w:rPr>
                <w:u w:val="none"/>
              </w:rPr>
            </w:pPr>
            <w:r w:rsidDel="00000000" w:rsidR="00000000" w:rsidRPr="00000000">
              <w:rPr>
                <w:rtl w:val="0"/>
              </w:rPr>
              <w:t xml:space="preserve">Specific user communities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Communication tool / channels (how?)</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color w:val="ff0000"/>
                <w:rtl w:val="0"/>
              </w:rPr>
              <w:t xml:space="preserve">(select only one)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numPr>
                <w:ilvl w:val="0"/>
                <w:numId w:val="1"/>
              </w:numPr>
              <w:spacing w:line="240" w:lineRule="auto"/>
              <w:ind w:left="720" w:hanging="360"/>
              <w:rPr>
                <w:u w:val="none"/>
              </w:rPr>
            </w:pPr>
            <w:r w:rsidDel="00000000" w:rsidR="00000000" w:rsidRPr="00000000">
              <w:rPr>
                <w:b w:val="1"/>
                <w:bCs w:val="1"/>
                <w:rtl w:val="0"/>
              </w:rPr>
              <w:t xml:space="preserve">Event (conference, meeting, workshop, internet debate, round table, group discussion)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1">
            <w:pPr>
              <w:widowControl w:val="0"/>
              <w:numPr>
                <w:ilvl w:val="0"/>
                <w:numId w:val="1"/>
              </w:numPr>
              <w:spacing w:line="240" w:lineRule="auto"/>
              <w:ind w:left="720" w:hanging="360"/>
              <w:rPr>
                <w:u w:val="none"/>
              </w:rPr>
            </w:pPr>
            <w:r w:rsidDel="00000000" w:rsidR="00000000" w:rsidRPr="00000000">
              <w:rPr>
                <w:rtl w:val="0"/>
              </w:rPr>
              <w:t xml:space="preserve">Exhibition</w:t>
            </w:r>
            <w:r w:rsidDel="00000000" w:rsidR="00000000" w:rsidRPr="00000000">
              <w:rPr>
                <w:rtl w:val="0"/>
              </w:rPr>
            </w:r>
          </w:p>
          <w:p w:rsidR="00000000" w:rsidDel="00000000" w:rsidP="00000000" w:rsidRDefault="00000000" w:rsidRPr="00000000" w14:paraId="00000022">
            <w:pPr>
              <w:widowControl w:val="0"/>
              <w:numPr>
                <w:ilvl w:val="0"/>
                <w:numId w:val="1"/>
              </w:numPr>
              <w:spacing w:line="240" w:lineRule="auto"/>
              <w:ind w:left="720" w:hanging="360"/>
              <w:rPr>
                <w:u w:val="none"/>
              </w:rPr>
            </w:pPr>
            <w:r w:rsidDel="00000000" w:rsidR="00000000" w:rsidRPr="00000000">
              <w:rPr>
                <w:rtl w:val="0"/>
              </w:rPr>
              <w:t xml:space="preserve">Interview</w:t>
            </w:r>
            <w:r w:rsidDel="00000000" w:rsidR="00000000" w:rsidRPr="00000000">
              <w:rPr>
                <w:rtl w:val="0"/>
              </w:rPr>
            </w:r>
          </w:p>
          <w:p w:rsidR="00000000" w:rsidDel="00000000" w:rsidP="00000000" w:rsidRDefault="00000000" w:rsidRPr="00000000" w14:paraId="00000023">
            <w:pPr>
              <w:widowControl w:val="0"/>
              <w:numPr>
                <w:ilvl w:val="0"/>
                <w:numId w:val="1"/>
              </w:numPr>
              <w:spacing w:line="240" w:lineRule="auto"/>
              <w:ind w:left="720" w:hanging="360"/>
              <w:rPr>
                <w:u w:val="none"/>
              </w:rPr>
            </w:pPr>
            <w:r w:rsidDel="00000000" w:rsidR="00000000" w:rsidRPr="00000000">
              <w:rPr>
                <w:rtl w:val="0"/>
              </w:rPr>
              <w:t xml:space="preserve">Media article</w:t>
            </w:r>
            <w:r w:rsidDel="00000000" w:rsidR="00000000" w:rsidRPr="00000000">
              <w:rPr>
                <w:rtl w:val="0"/>
              </w:rPr>
            </w:r>
          </w:p>
          <w:p w:rsidR="00000000" w:rsidDel="00000000" w:rsidP="00000000" w:rsidRDefault="00000000" w:rsidRPr="00000000" w14:paraId="00000024">
            <w:pPr>
              <w:widowControl w:val="0"/>
              <w:numPr>
                <w:ilvl w:val="0"/>
                <w:numId w:val="1"/>
              </w:numPr>
              <w:spacing w:line="240" w:lineRule="auto"/>
              <w:ind w:left="720" w:hanging="360"/>
              <w:rPr>
                <w:u w:val="none"/>
              </w:rPr>
            </w:pPr>
            <w:r w:rsidDel="00000000" w:rsidR="00000000" w:rsidRPr="00000000">
              <w:rPr>
                <w:rtl w:val="0"/>
              </w:rPr>
              <w:t xml:space="preserve">Newsletter</w:t>
            </w:r>
            <w:r w:rsidDel="00000000" w:rsidR="00000000" w:rsidRPr="00000000">
              <w:rPr>
                <w:rtl w:val="0"/>
              </w:rPr>
            </w:r>
          </w:p>
          <w:p w:rsidR="00000000" w:rsidDel="00000000" w:rsidP="00000000" w:rsidRDefault="00000000" w:rsidRPr="00000000" w14:paraId="00000025">
            <w:pPr>
              <w:widowControl w:val="0"/>
              <w:numPr>
                <w:ilvl w:val="0"/>
                <w:numId w:val="1"/>
              </w:numPr>
              <w:spacing w:line="240" w:lineRule="auto"/>
              <w:ind w:left="720" w:hanging="360"/>
              <w:rPr>
                <w:u w:val="none"/>
              </w:rPr>
            </w:pPr>
            <w:r w:rsidDel="00000000" w:rsidR="00000000" w:rsidRPr="00000000">
              <w:rPr>
                <w:rtl w:val="0"/>
              </w:rPr>
              <w:t xml:space="preserve">Other</w:t>
            </w:r>
            <w:r w:rsidDel="00000000" w:rsidR="00000000" w:rsidRPr="00000000">
              <w:rPr>
                <w:rtl w:val="0"/>
              </w:rPr>
            </w:r>
          </w:p>
          <w:p w:rsidR="00000000" w:rsidDel="00000000" w:rsidP="00000000" w:rsidRDefault="00000000" w:rsidRPr="00000000" w14:paraId="00000026">
            <w:pPr>
              <w:widowControl w:val="0"/>
              <w:numPr>
                <w:ilvl w:val="0"/>
                <w:numId w:val="1"/>
              </w:numPr>
              <w:spacing w:line="240" w:lineRule="auto"/>
              <w:ind w:left="720" w:hanging="360"/>
              <w:rPr>
                <w:u w:val="none"/>
              </w:rPr>
            </w:pPr>
            <w:r w:rsidDel="00000000" w:rsidR="00000000" w:rsidRPr="00000000">
              <w:rPr>
                <w:rtl w:val="0"/>
              </w:rPr>
              <w:t xml:space="preserve">Press release</w:t>
            </w:r>
            <w:r w:rsidDel="00000000" w:rsidR="00000000" w:rsidRPr="00000000">
              <w:rPr>
                <w:rtl w:val="0"/>
              </w:rPr>
            </w:r>
          </w:p>
          <w:p w:rsidR="00000000" w:rsidDel="00000000" w:rsidP="00000000" w:rsidRDefault="00000000" w:rsidRPr="00000000" w14:paraId="00000027">
            <w:pPr>
              <w:widowControl w:val="0"/>
              <w:numPr>
                <w:ilvl w:val="0"/>
                <w:numId w:val="1"/>
              </w:numPr>
              <w:spacing w:line="240" w:lineRule="auto"/>
              <w:ind w:left="720" w:hanging="360"/>
              <w:rPr>
                <w:u w:val="none"/>
              </w:rPr>
            </w:pPr>
            <w:r w:rsidDel="00000000" w:rsidR="00000000" w:rsidRPr="00000000">
              <w:rPr>
                <w:rtl w:val="0"/>
              </w:rPr>
              <w:t xml:space="preserve">Print materials</w:t>
            </w:r>
            <w:r w:rsidDel="00000000" w:rsidR="00000000" w:rsidRPr="00000000">
              <w:rPr>
                <w:rtl w:val="0"/>
              </w:rPr>
            </w:r>
          </w:p>
          <w:p w:rsidR="00000000" w:rsidDel="00000000" w:rsidP="00000000" w:rsidRDefault="00000000" w:rsidRPr="00000000" w14:paraId="00000028">
            <w:pPr>
              <w:widowControl w:val="0"/>
              <w:numPr>
                <w:ilvl w:val="0"/>
                <w:numId w:val="1"/>
              </w:numPr>
              <w:spacing w:line="240" w:lineRule="auto"/>
              <w:ind w:left="720" w:hanging="360"/>
              <w:rPr>
                <w:u w:val="none"/>
              </w:rPr>
            </w:pPr>
            <w:r w:rsidDel="00000000" w:rsidR="00000000" w:rsidRPr="00000000">
              <w:rPr>
                <w:rtl w:val="0"/>
              </w:rPr>
              <w:t xml:space="preserve">Social media </w:t>
            </w:r>
            <w:r w:rsidDel="00000000" w:rsidR="00000000" w:rsidRPr="00000000">
              <w:rPr>
                <w:rtl w:val="0"/>
              </w:rPr>
            </w:r>
          </w:p>
          <w:p w:rsidR="00000000" w:rsidDel="00000000" w:rsidP="00000000" w:rsidRDefault="00000000" w:rsidRPr="00000000" w14:paraId="00000029">
            <w:pPr>
              <w:widowControl w:val="0"/>
              <w:numPr>
                <w:ilvl w:val="0"/>
                <w:numId w:val="1"/>
              </w:numPr>
              <w:spacing w:line="240" w:lineRule="auto"/>
              <w:ind w:left="720" w:hanging="360"/>
              <w:rPr>
                <w:u w:val="none"/>
              </w:rPr>
            </w:pPr>
            <w:r w:rsidDel="00000000" w:rsidR="00000000" w:rsidRPr="00000000">
              <w:rPr>
                <w:rtl w:val="0"/>
              </w:rPr>
              <w:t xml:space="preserve">TV_Radio_Campaign</w:t>
            </w:r>
            <w:r w:rsidDel="00000000" w:rsidR="00000000" w:rsidRPr="00000000">
              <w:rPr>
                <w:rtl w:val="0"/>
              </w:rPr>
            </w:r>
          </w:p>
          <w:p w:rsidR="00000000" w:rsidDel="00000000" w:rsidP="00000000" w:rsidRDefault="00000000" w:rsidRPr="00000000" w14:paraId="0000002A">
            <w:pPr>
              <w:widowControl w:val="0"/>
              <w:numPr>
                <w:ilvl w:val="0"/>
                <w:numId w:val="1"/>
              </w:numPr>
              <w:spacing w:line="240" w:lineRule="auto"/>
              <w:ind w:left="720" w:hanging="360"/>
              <w:rPr>
                <w:u w:val="none"/>
              </w:rPr>
            </w:pPr>
            <w:r w:rsidDel="00000000" w:rsidR="00000000" w:rsidRPr="00000000">
              <w:rPr>
                <w:rtl w:val="0"/>
              </w:rPr>
              <w:t xml:space="preserve">Video</w:t>
            </w:r>
            <w:r w:rsidDel="00000000" w:rsidR="00000000" w:rsidRPr="00000000">
              <w:rPr>
                <w:rtl w:val="0"/>
              </w:rPr>
            </w:r>
          </w:p>
          <w:p w:rsidR="00000000" w:rsidDel="00000000" w:rsidP="00000000" w:rsidRDefault="00000000" w:rsidRPr="00000000" w14:paraId="0000002B">
            <w:pPr>
              <w:widowControl w:val="0"/>
              <w:numPr>
                <w:ilvl w:val="0"/>
                <w:numId w:val="1"/>
              </w:numPr>
              <w:spacing w:line="240" w:lineRule="auto"/>
              <w:ind w:left="720" w:hanging="360"/>
              <w:rPr>
                <w:u w:val="none"/>
              </w:rPr>
            </w:pPr>
            <w:r w:rsidDel="00000000" w:rsidR="00000000" w:rsidRPr="00000000">
              <w:rPr>
                <w:rtl w:val="0"/>
              </w:rPr>
              <w:t xml:space="preserve">Website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Url if applicable</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pPr>
            <w:hyperlink r:id="rId7">
              <w:r w:rsidDel="00000000" w:rsidR="00000000" w:rsidRPr="00000000">
                <w:rPr>
                  <w:color w:val="1155cc"/>
                  <w:u w:val="single"/>
                  <w:rtl w:val="0"/>
                </w:rPr>
                <w:t xml:space="preserve">https://www.facebook.com/SoDproject</w:t>
              </w:r>
            </w:hyperlink>
            <w:r w:rsidDel="00000000" w:rsidR="00000000" w:rsidRPr="00000000">
              <w:rPr>
                <w:rtl w:val="0"/>
              </w:rPr>
            </w:r>
          </w:p>
          <w:p w:rsidR="00000000" w:rsidDel="00000000" w:rsidP="00000000" w:rsidRDefault="00000000" w:rsidRPr="00000000" w14:paraId="0000002E">
            <w:pPr>
              <w:widowControl w:val="0"/>
              <w:spacing w:line="240" w:lineRule="auto"/>
              <w:rPr/>
            </w:pPr>
            <w:hyperlink r:id="rId8">
              <w:r w:rsidDel="00000000" w:rsidR="00000000" w:rsidRPr="00000000">
                <w:rPr>
                  <w:color w:val="1155cc"/>
                  <w:u w:val="single"/>
                  <w:rtl w:val="0"/>
                </w:rPr>
                <w:t xml:space="preserve">https://www.instagram.com/projectsod/</w:t>
              </w:r>
            </w:hyperlink>
            <w:r w:rsidDel="00000000" w:rsidR="00000000" w:rsidRPr="00000000">
              <w:rPr>
                <w:rtl w:val="0"/>
              </w:rPr>
            </w:r>
          </w:p>
          <w:p w:rsidR="00000000" w:rsidDel="00000000" w:rsidP="00000000" w:rsidRDefault="00000000" w:rsidRPr="00000000" w14:paraId="0000002F">
            <w:pPr>
              <w:widowControl w:val="0"/>
              <w:spacing w:line="240" w:lineRule="auto"/>
              <w:rPr/>
            </w:pPr>
            <w:hyperlink r:id="rId9">
              <w:r w:rsidDel="00000000" w:rsidR="00000000" w:rsidRPr="00000000">
                <w:rPr>
                  <w:color w:val="1155cc"/>
                  <w:u w:val="single"/>
                  <w:rtl w:val="0"/>
                </w:rPr>
                <w:t xml:space="preserve">Rețeaua Proiectului „Sound of Diversity”, reunită la Bârlad - Primăria Municipiului Bârlad</w:t>
              </w:r>
            </w:hyperlink>
            <w:r w:rsidDel="00000000" w:rsidR="00000000" w:rsidRPr="00000000">
              <w:rPr>
                <w:rtl w:val="0"/>
              </w:rPr>
              <w:t xml:space="preserv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hyperlink r:id="rId10">
              <w:r w:rsidDel="00000000" w:rsidR="00000000" w:rsidRPr="00000000">
                <w:rPr>
                  <w:color w:val="1155cc"/>
                  <w:u w:val="single"/>
                  <w:rtl w:val="0"/>
                </w:rPr>
                <w:t xml:space="preserve">https://www.facebook.com/photo/?fbid=1007848445328143&amp;set=a.129656643147332&amp;locale=ro_RO</w:t>
              </w:r>
            </w:hyperlink>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hyperlink r:id="rId11">
              <w:r w:rsidDel="00000000" w:rsidR="00000000" w:rsidRPr="00000000">
                <w:rPr>
                  <w:color w:val="1155cc"/>
                  <w:u w:val="single"/>
                  <w:rtl w:val="0"/>
                </w:rPr>
                <w:t xml:space="preserve">https://www.facebook.com/reel/1010122301972126</w:t>
              </w:r>
            </w:hyperlink>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b w:val="1"/>
                <w:bCs w:val="1"/>
                <w:color w:val="ff0000"/>
              </w:rPr>
            </w:pPr>
            <w:r w:rsidDel="00000000" w:rsidR="00000000" w:rsidRPr="00000000">
              <w:rPr>
                <w:b w:val="1"/>
                <w:bCs w:val="1"/>
                <w:rtl w:val="0"/>
              </w:rPr>
              <w:t xml:space="preserve">Outcome - </w:t>
            </w:r>
            <w:r w:rsidDel="00000000" w:rsidR="00000000" w:rsidRPr="00000000">
              <w:rPr>
                <w:b w:val="1"/>
                <w:bCs w:val="1"/>
                <w:color w:val="ff0000"/>
                <w:rtl w:val="0"/>
              </w:rPr>
              <w:t xml:space="preserve">key performance indicators </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pPr>
            <w:r w:rsidDel="00000000" w:rsidR="00000000" w:rsidRPr="00000000">
              <w:rPr>
                <w:rtl w:val="0"/>
              </w:rPr>
              <w:t xml:space="preserve">editorial plan: 1</w:t>
            </w:r>
          </w:p>
          <w:p w:rsidR="00000000" w:rsidDel="00000000" w:rsidP="00000000" w:rsidRDefault="00000000" w:rsidRPr="00000000" w14:paraId="00000035">
            <w:pPr>
              <w:widowControl w:val="0"/>
              <w:spacing w:line="240" w:lineRule="auto"/>
              <w:rPr/>
            </w:pPr>
            <w:r w:rsidDel="00000000" w:rsidR="00000000" w:rsidRPr="00000000">
              <w:rPr>
                <w:rtl w:val="0"/>
              </w:rPr>
              <w:t xml:space="preserve">communication assets: online meeting, e-mails, WhatsApp group,Facebook page and Instagram</w:t>
            </w:r>
          </w:p>
          <w:p w:rsidR="00000000" w:rsidDel="00000000" w:rsidP="00000000" w:rsidRDefault="00000000" w:rsidRPr="00000000" w14:paraId="00000036">
            <w:pPr>
              <w:widowControl w:val="0"/>
              <w:spacing w:line="240" w:lineRule="auto"/>
              <w:rPr/>
            </w:pPr>
            <w:r w:rsidDel="00000000" w:rsidR="00000000" w:rsidRPr="00000000">
              <w:rPr>
                <w:rtl w:val="0"/>
              </w:rPr>
              <w:t xml:space="preserve">on-line meetings: 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Status of the communication activity</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39">
            <w:pPr>
              <w:widowControl w:val="0"/>
              <w:spacing w:line="240" w:lineRule="auto"/>
              <w:rPr>
                <w:b w:val="1"/>
                <w:bCs w:val="1"/>
              </w:rPr>
            </w:pPr>
            <w:r w:rsidDel="00000000" w:rsidR="00000000" w:rsidRPr="00000000">
              <w:rPr>
                <w:b w:val="1"/>
                <w:bCs w:val="1"/>
                <w:color w:val="ff0000"/>
                <w:rtl w:val="0"/>
              </w:rPr>
              <w:t xml:space="preserve">(select one)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numPr>
                <w:ilvl w:val="0"/>
                <w:numId w:val="3"/>
              </w:numPr>
              <w:spacing w:line="240" w:lineRule="auto"/>
              <w:ind w:left="720" w:hanging="360"/>
              <w:rPr/>
            </w:pPr>
            <w:r w:rsidDel="00000000" w:rsidR="00000000" w:rsidRPr="00000000">
              <w:rPr>
                <w:rtl w:val="0"/>
              </w:rPr>
              <w:t xml:space="preserve">Cancelled</w:t>
            </w:r>
          </w:p>
          <w:p w:rsidR="00000000" w:rsidDel="00000000" w:rsidP="00000000" w:rsidRDefault="00000000" w:rsidRPr="00000000" w14:paraId="0000003B">
            <w:pPr>
              <w:widowControl w:val="0"/>
              <w:numPr>
                <w:ilvl w:val="0"/>
                <w:numId w:val="3"/>
              </w:numPr>
              <w:spacing w:line="240" w:lineRule="auto"/>
              <w:ind w:left="720" w:hanging="360"/>
              <w:rPr>
                <w:b w:val="1"/>
                <w:bCs w:val="1"/>
              </w:rPr>
            </w:pPr>
            <w:r w:rsidDel="00000000" w:rsidR="00000000" w:rsidRPr="00000000">
              <w:rPr>
                <w:b w:val="1"/>
                <w:bCs w:val="1"/>
                <w:rtl w:val="0"/>
              </w:rPr>
              <w:t xml:space="preserve">Delivered</w:t>
            </w:r>
          </w:p>
          <w:p w:rsidR="00000000" w:rsidDel="00000000" w:rsidP="00000000" w:rsidRDefault="00000000" w:rsidRPr="00000000" w14:paraId="0000003C">
            <w:pPr>
              <w:widowControl w:val="0"/>
              <w:numPr>
                <w:ilvl w:val="0"/>
                <w:numId w:val="3"/>
              </w:numPr>
              <w:spacing w:line="240" w:lineRule="auto"/>
              <w:ind w:left="720" w:hanging="360"/>
              <w:rPr/>
            </w:pPr>
            <w:r w:rsidDel="00000000" w:rsidR="00000000" w:rsidRPr="00000000">
              <w:rPr>
                <w:rtl w:val="0"/>
              </w:rPr>
              <w:t xml:space="preserve">Ongoing</w:t>
            </w:r>
          </w:p>
          <w:p w:rsidR="00000000" w:rsidDel="00000000" w:rsidP="00000000" w:rsidRDefault="00000000" w:rsidRPr="00000000" w14:paraId="0000003D">
            <w:pPr>
              <w:widowControl w:val="0"/>
              <w:numPr>
                <w:ilvl w:val="0"/>
                <w:numId w:val="3"/>
              </w:numPr>
              <w:spacing w:line="240" w:lineRule="auto"/>
              <w:ind w:left="720" w:hanging="360"/>
              <w:rPr/>
            </w:pPr>
            <w:r w:rsidDel="00000000" w:rsidR="00000000" w:rsidRPr="00000000">
              <w:rPr>
                <w:rtl w:val="0"/>
              </w:rPr>
              <w:t xml:space="preserve">Postponed </w:t>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cebook.com/reel/1010122301972126" TargetMode="External"/><Relationship Id="rId10" Type="http://schemas.openxmlformats.org/officeDocument/2006/relationships/hyperlink" Target="https://www.facebook.com/photo/?fbid=1007848445328143&amp;set=a.129656643147332&amp;locale=ro_RO" TargetMode="External"/><Relationship Id="rId9" Type="http://schemas.openxmlformats.org/officeDocument/2006/relationships/hyperlink" Target="https://primariabarlad.ro/reteaua-proiectului-sound-of-diversity-reunita-la-barl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SoDproject" TargetMode="External"/><Relationship Id="rId8" Type="http://schemas.openxmlformats.org/officeDocument/2006/relationships/hyperlink" Target="https://www.instagram.com/projects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ljHKlWczQaB7cRL+SKPQUNnQ==">CgMxLjA4AHIhMVJ0RTJBMEV5N1JtRGZRUVhGUndHR3VnOTcybjl5VXEx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2022-10-28T14:11:00Z</dcterms:created>
</cp:coreProperties>
</file>